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36"/>
          <w:u w:val="none"/>
        </w:rPr>
        <w:t xml:space="preserve">USNESENÍ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 xml:space="preserve">ze 4. zasedání Zastupitelstva obce v Janově nad Nisou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>konaného dne 29. dubna 2026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</w:t>
      </w: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 xml:space="preserve"> 30/2026</w:t>
      </w:r>
    </w:p>
    <w:p>
      <w:pPr>
        <w:pStyle w:val="Normal"/>
        <w:shd w:val="clear" w:fill="FFFFFF"/>
        <w:tabs>
          <w:tab w:val="clear" w:pos="709"/>
          <w:tab w:val="left" w:pos="1024" w:leader="none"/>
        </w:tabs>
        <w:spacing w:lineRule="atLeast" w:line="100" w:before="0" w:after="120"/>
        <w:ind w:end="30"/>
        <w:jc w:val="both"/>
        <w:rPr>
          <w:b w:val="false"/>
          <w:bCs w:val="false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ZO Janov nad Nisou schvaluje účetní závěrku /dle vyhlášky 220/2013 Sb./ příspěvkové organizace Základní škola a Mateřská škola Janov nad Nisou za rok 2025. K řádnému schválení účetní závěrky byly předloženy ZO dokumenty Rozvaha a Výkaz zisku a ztráty a dokument Příloha.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31/2026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ZO Janov nad Nisou schvaluje výsledek hospodaření příspěvkové organizace Základní škola a Mateřská škola Janov nad Nisou za rok 2025 ve výši +386.917,09 Kč a souhlasí s převedením zlepšeného výsledku hospodaření ve výši + 386.917,09 Kč do rezervního fondu školy.</w:t>
      </w:r>
    </w:p>
    <w:p>
      <w:pPr>
        <w:pStyle w:val="Normal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position w:val="0"/>
          <w:sz w:val="24"/>
          <w:sz w:val="24"/>
          <w:szCs w:val="24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U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snesení č. 32/2026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  <w:t>ZO Janov nad Nisou schvaluje převod částky + 247.756,69 /výše snížených výdajů za mandatorní položky/ z rezervního fondu do fondu investic ZO Janov nad Nisou schvaluje převod částky + 247.756,69 /výše snížených výdajů za mandatorní položky/ z rezervního fondu do fondu investic ZO Janov nad Nisou schvaluje převod částky + 247.756,69 /výše snížených výdajů za mandatorní položky/ z rezervního fondu do fondu investic.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33/2026</w:t>
      </w:r>
    </w:p>
    <w:p>
      <w:pPr>
        <w:pStyle w:val="Normal"/>
        <w:jc w:val="both"/>
        <w:rPr/>
      </w:pP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zxx" w:bidi="ar-SA"/>
        </w:rPr>
        <w:t xml:space="preserve">ZO Janov nad Nisou nařizuje příspěvkové organizaci Základní škola a Mateřská škola Janov nad Nisou převedení částky + 295.625,69 Kč (47.869, - Kč /odpisy/+ 247.756,69 / výše snížených výdajů za mandatorní položky/) z fondu investic školy zřizovateli školy. </w:t>
      </w:r>
    </w:p>
    <w:p>
      <w:pPr>
        <w:pStyle w:val="Normal"/>
        <w:jc w:val="both"/>
        <w:rPr>
          <w:rFonts w:ascii="Times New Roman" w:hAnsi="Times New Roman" w:eastAsia="Tahoma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</w:pP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34/2026</w:t>
      </w:r>
    </w:p>
    <w:p>
      <w:pPr>
        <w:pStyle w:val="Normal"/>
        <w:spacing w:lineRule="auto" w:line="240"/>
        <w:jc w:val="both"/>
        <w:rPr>
          <w:b w:val="false"/>
          <w:bCs w:val="false"/>
        </w:rPr>
      </w:pP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>ZO Janov nad Nisou souhlasí s vypracováním geometrického plánu na rozdělení pozemku ppč. 174/9 k. ú. Hraničná nad Nisou, se zveřejněním prodeje částí pozemku a s vypracováním znaleckého posudku.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35/2026</w:t>
      </w:r>
    </w:p>
    <w:p>
      <w:pPr>
        <w:pStyle w:val="Normal"/>
        <w:spacing w:lineRule="auto" w:line="240"/>
        <w:jc w:val="both"/>
        <w:rPr/>
      </w:pP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>ZO Janov nad Nisou souhlasí s vypracováním geometrického plánu na oddělení části pozemku ppč. 174/9 k. ú. Hraničná nad Nisou, se zveřejněním prodeje a s vypracováním znaleckého posudku</w:t>
      </w:r>
      <w:r>
        <w:rPr>
          <w:rFonts w:eastAsia="Tahoma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ahoma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</w:pPr>
      <w:r>
        <w:rPr>
          <w:rFonts w:eastAsia="Tahoma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36/2026</w:t>
      </w:r>
    </w:p>
    <w:p>
      <w:pPr>
        <w:pStyle w:val="Normal"/>
        <w:spacing w:lineRule="auto" w:line="240"/>
        <w:jc w:val="both"/>
        <w:rPr/>
      </w:pP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>ZO Janov nad Nisou schvaluje uzavření Smlouvy o zřízení věcného břemene – služebnosti na zřízení, provozování, údržbu a opravy kanalizační přípojky na pozemku ppč.  865 k. ú. Hraničná nad Nisou pro majitele objektu Hraničná čp. 172 za cenu 5.245,- Kč + DPH v zákonné výši.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single"/>
          <w:shd w:fill="auto" w:val="clear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single"/>
          <w:shd w:fill="auto" w:val="clear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37/2026</w:t>
      </w:r>
    </w:p>
    <w:p>
      <w:pPr>
        <w:pStyle w:val="Normal"/>
        <w:spacing w:lineRule="auto" w:line="240"/>
        <w:jc w:val="both"/>
        <w:rPr>
          <w:b w:val="false"/>
          <w:bCs w:val="false"/>
        </w:rPr>
      </w:pP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>ZO Janov nad Nisou schvaluje uzavření Smlouvy o zřízení věcného břemene – služebnosti na zřízení, provozování, údržbu a opravy kanalizační přípojky na pozemku ppč.  865 k. ú. Hraničná nad Nisou pro majitele pozemku stpč. 462 k. ú. Hraničná nad Nisou za cenu 5.245,- Kč + DPH v zákonné výši.</w:t>
      </w:r>
    </w:p>
    <w:p>
      <w:pPr>
        <w:pStyle w:val="Normal"/>
        <w:spacing w:lineRule="auto" w:line="24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38/2026</w:t>
      </w:r>
    </w:p>
    <w:p>
      <w:pPr>
        <w:pStyle w:val="Normal"/>
        <w:spacing w:lineRule="auto" w:line="240"/>
        <w:jc w:val="both"/>
        <w:rPr>
          <w:b w:val="false"/>
          <w:bCs w:val="false"/>
        </w:rPr>
      </w:pP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>ZO Janov nad Nisou souhlasí s výmazem věcného břemene na vedení vodovodu přes pozemky ppč. 308/6 a 308/7 k. ú. Janov nad Nisou.</w:t>
      </w:r>
    </w:p>
    <w:p>
      <w:pPr>
        <w:pStyle w:val="Normal"/>
        <w:spacing w:lineRule="auto" w:line="24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39/2026</w:t>
      </w:r>
    </w:p>
    <w:p>
      <w:pPr>
        <w:pStyle w:val="Normal"/>
        <w:rPr>
          <w:b w:val="false"/>
          <w:bCs w:val="false"/>
        </w:rPr>
      </w:pP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>ZO Janov nad Nisou schvaluje následující rozpočtová opatření č. 2/2026.</w:t>
      </w:r>
    </w:p>
    <w:tbl>
      <w:tblPr>
        <w:tblW w:w="7127" w:type="dxa"/>
        <w:jc w:val="start"/>
        <w:tblInd w:w="-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31"/>
        <w:gridCol w:w="370"/>
        <w:gridCol w:w="1111"/>
        <w:gridCol w:w="370"/>
        <w:gridCol w:w="493"/>
        <w:gridCol w:w="308"/>
        <w:gridCol w:w="541"/>
        <w:gridCol w:w="493"/>
        <w:gridCol w:w="526"/>
        <w:gridCol w:w="338"/>
        <w:gridCol w:w="370"/>
        <w:gridCol w:w="1004"/>
        <w:gridCol w:w="771"/>
      </w:tblGrid>
      <w:tr>
        <w:trPr>
          <w:trHeight w:val="256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PŘÍJMY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</w:tr>
      <w:tr>
        <w:trPr>
          <w:trHeight w:val="256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OdP</w:t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      </w:t>
            </w:r>
            <w:r>
              <w:rPr>
                <w:b/>
                <w:bCs/>
                <w:sz w:val="14"/>
                <w:szCs w:val="14"/>
              </w:rPr>
              <w:t>Pol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Zj</w:t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Uz</w:t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Pj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Nás</w:t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Mu</w:t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Partner</w:t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Orj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Org</w:t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   </w:t>
            </w:r>
            <w:r>
              <w:rPr>
                <w:b/>
                <w:bCs/>
                <w:sz w:val="14"/>
                <w:szCs w:val="14"/>
              </w:rPr>
              <w:t>Změna</w:t>
            </w:r>
          </w:p>
        </w:tc>
      </w:tr>
      <w:tr>
        <w:trPr>
          <w:trHeight w:val="256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1333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3000,00</w:t>
            </w:r>
          </w:p>
        </w:tc>
      </w:tr>
      <w:tr>
        <w:trPr>
          <w:trHeight w:val="256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1335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2000,00</w:t>
            </w:r>
          </w:p>
        </w:tc>
      </w:tr>
      <w:tr>
        <w:trPr>
          <w:trHeight w:val="256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4111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8185,40</w:t>
            </w:r>
          </w:p>
        </w:tc>
      </w:tr>
      <w:tr>
        <w:trPr>
          <w:trHeight w:val="256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4112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5900,00</w:t>
            </w:r>
          </w:p>
        </w:tc>
      </w:tr>
      <w:tr>
        <w:trPr>
          <w:trHeight w:val="256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4116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7500,00</w:t>
            </w:r>
          </w:p>
        </w:tc>
      </w:tr>
      <w:tr>
        <w:trPr>
          <w:trHeight w:val="256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4116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54294,00</w:t>
            </w:r>
          </w:p>
        </w:tc>
      </w:tr>
      <w:tr>
        <w:trPr>
          <w:trHeight w:val="256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4221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500000,00</w:t>
            </w:r>
          </w:p>
        </w:tc>
      </w:tr>
      <w:tr>
        <w:trPr>
          <w:trHeight w:val="336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Příjmy celkem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580879,40</w:t>
            </w:r>
          </w:p>
        </w:tc>
      </w:tr>
      <w:tr>
        <w:trPr>
          <w:trHeight w:val="256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</w:tr>
      <w:tr>
        <w:trPr>
          <w:trHeight w:val="256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VÝDAJE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</w:tr>
      <w:tr>
        <w:trPr>
          <w:trHeight w:val="256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OdP</w:t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      </w:t>
            </w:r>
            <w:r>
              <w:rPr>
                <w:b/>
                <w:bCs/>
                <w:sz w:val="14"/>
                <w:szCs w:val="14"/>
              </w:rPr>
              <w:t>Pol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Zj</w:t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Uz</w:t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Pj</w:t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Nás</w:t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Mu</w:t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Partner</w:t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   </w:t>
            </w:r>
            <w:r>
              <w:rPr>
                <w:b/>
                <w:bCs/>
                <w:sz w:val="14"/>
                <w:szCs w:val="14"/>
              </w:rPr>
              <w:t>Orj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Org</w:t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   </w:t>
            </w:r>
            <w:r>
              <w:rPr>
                <w:b/>
                <w:bCs/>
                <w:sz w:val="14"/>
                <w:szCs w:val="14"/>
              </w:rPr>
              <w:t>Změna</w:t>
            </w:r>
          </w:p>
        </w:tc>
      </w:tr>
      <w:tr>
        <w:trPr>
          <w:trHeight w:val="256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3113</w:t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5331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290903,00</w:t>
            </w:r>
          </w:p>
        </w:tc>
      </w:tr>
      <w:tr>
        <w:trPr>
          <w:trHeight w:val="256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3113</w:t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6121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190000,00</w:t>
            </w:r>
          </w:p>
        </w:tc>
      </w:tr>
      <w:tr>
        <w:trPr>
          <w:trHeight w:val="256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3639</w:t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5164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8000,00</w:t>
            </w:r>
          </w:p>
        </w:tc>
      </w:tr>
      <w:tr>
        <w:trPr>
          <w:trHeight w:val="256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6171</w:t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6121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91976,40</w:t>
            </w:r>
          </w:p>
        </w:tc>
      </w:tr>
      <w:tr>
        <w:trPr>
          <w:trHeight w:val="256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</w:tr>
      <w:tr>
        <w:trPr>
          <w:trHeight w:val="183" w:hRule="atLeast"/>
        </w:trPr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11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Výdaje celkem</w:t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41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493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26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04" w:type="dxa"/>
            <w:tcBorders/>
            <w:vAlign w:val="bottom"/>
          </w:tcPr>
          <w:p>
            <w:pPr>
              <w:pStyle w:val="Normal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771" w:type="dxa"/>
            <w:tcBorders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580879,40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40/2026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eastAsia="Times New Roman" w:cs="Verdana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vertAlign w:val="baseline"/>
          <w:lang w:val="cs-CZ" w:eastAsia="zxx" w:bidi="ar-SA"/>
        </w:rPr>
        <w:t>ZO Janov nad Nisou schvaluje přípravu zadávacího řízení na veřejnou zakázku (příprava Zadávací dokumentace na veřejnou zakázku ve zjednodušeném podlimitním řízení) „Výměna povrchu fotbalového hřiště v areálu Janovské sokolovny“.</w:t>
      </w:r>
    </w:p>
    <w:p>
      <w:pPr>
        <w:pStyle w:val="Normal"/>
        <w:jc w:val="both"/>
        <w:rPr>
          <w:rFonts w:ascii="Times New Roman" w:hAnsi="Times New Roman" w:eastAsia="Times New Roman" w:cs="Verdana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vertAlign w:val="baseline"/>
          <w:lang w:val="cs-CZ" w:eastAsia="zxx" w:bidi="ar-SA"/>
        </w:rPr>
      </w:pPr>
      <w:r>
        <w:rPr>
          <w:rFonts w:eastAsia="Times New Roman" w:cs="Verdana" w:ascii="Times New Roman" w:hAnsi="Times New Roman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vertAlign w:val="baseline"/>
          <w:lang w:val="cs-CZ" w:eastAsia="zxx" w:bidi="ar-SA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41/2026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ZO Janov nad Nisou schvaluje uzavření  Smlouvy o poskytnutí dotace č. 290001021 mezi Obcí Janov nad Nisou a Státním fondem podpory investic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 w:val="false"/>
          <w:bCs w:val="false"/>
        </w:rPr>
        <w:t>a pověřuje starostu obce podpisem smlouvy.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42/2026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ZO Janov nad Nisou stanovuje počet členů Zastupitelstva obce Janov nad Nisou pro příští volební období 2026–2030 na 9 členů.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43/2026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ZO Janov nad Nisou bere na vědomí rezignaci pana Jaroslava Beneše na člena Kontrolního výboru a jmenuje za něj pana Jindřicha Pelíška.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cs-CZ" w:eastAsia="cs-CZ" w:bidi="cs-CZ"/>
        </w:rPr>
        <w:t xml:space="preserve">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cs-CZ" w:eastAsia="cs-CZ" w:bidi="cs-CZ"/>
        </w:rPr>
        <w:t xml:space="preserve">Mgr. Daniel David                                          </w:t>
        <w:tab/>
        <w:t xml:space="preserve">        </w:t>
        <w:tab/>
        <w:t xml:space="preserve">Renata Mádlová 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val="cs-CZ" w:eastAsia="cs-CZ" w:bidi="cs-CZ"/>
        </w:rPr>
        <w:t xml:space="preserve">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val="cs-CZ" w:eastAsia="cs-CZ" w:bidi="cs-CZ"/>
        </w:rPr>
        <w:t xml:space="preserve">starosta obce                                                    </w:t>
        <w:tab/>
        <w:tab/>
        <w:t xml:space="preserve">místostarostka obce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footerReference w:type="default" r:id="rId2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Zhlavazpat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322</TotalTime>
  <Application>LibreOffice/24.2.7.2$Windows_X86_64 LibreOffice_project/ee3885777aa7032db5a9b65deec9457448a91162</Application>
  <AppVersion>15.0000</AppVersion>
  <Pages>2</Pages>
  <Words>599</Words>
  <Characters>3212</Characters>
  <CharactersWithSpaces>3894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2026-01-20T09:03:06Z</dcterms:created>
  <dc:creator/>
  <dc:description/>
  <dc:language>cs-CZ</dc:language>
  <cp:lastModifiedBy/>
  <dcterms:modified xsi:type="dcterms:W3CDTF">2026-05-05T08:42:48Z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